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noProof w:val="1"/>
          <w:color w:val="0000ff"/>
        </w:rPr>
        <w:drawing>
          <wp:anchor simplePos="0" allowOverlap="1" behindDoc="1" layoutInCell="1" locked="0" relativeHeight="10" distB="0" distL="114300" distR="114300" distT="0">
            <wp:simplePos x="0" y="0"/>
            <wp:positionH relativeFrom="column">
              <wp:posOffset>403225</wp:posOffset>
            </wp:positionH>
            <wp:positionV relativeFrom="paragraph">
              <wp:posOffset>-41275</wp:posOffset>
            </wp:positionV>
            <wp:extent cx="493395" cy="632459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1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632459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sz w:val="24"/>
        </w:rPr>
        <w:t xml:space="preserve">      </w:t>
      </w:r>
    </w:p>
    <w:p>
      <w:pPr>
        <w:spacing w:lineRule="auto" w:line="240" w:after="0" w:beforeAutospacing="0" w:afterAutospacing="0"/>
        <w:pStyle w:val="P0"/>
        <w:rPr>
          <w:sz w:val="24"/>
        </w:rPr>
      </w:pP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sz w:val="24"/>
        </w:rPr>
        <w:t xml:space="preserve">VIROVITIČKO-PODRAVSKA ŽUPANIJA</w:t>
      </w: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sz w:val="24"/>
        </w:rPr>
        <w:t xml:space="preserve">GRAD ORAHOVICA</w:t>
      </w: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sz w:val="24"/>
        </w:rPr>
        <w:t xml:space="preserve">GRADSKO VIJEĆE</w:t>
      </w: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sz w:val="24"/>
        </w:rPr>
        <w:t xml:space="preserve">Odbor za komunalne djelatnosti</w:t>
      </w:r>
    </w:p>
    <w:p>
      <w:pPr>
        <w:spacing w:lineRule="auto" w:line="240" w:after="0" w:beforeAutospacing="0" w:afterAutospacing="0"/>
        <w:pStyle w:val="P0"/>
        <w:rPr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sz w:val="24"/>
        </w:rPr>
        <w:t xml:space="preserve">KLASA: </w:t>
      </w:r>
      <w:r>
        <w:rPr>
          <w:sz w:val="24"/>
        </w:rPr>
        <w:t>363-01/25-01/10</w:t>
      </w: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sz w:val="24"/>
        </w:rPr>
        <w:t xml:space="preserve">URBROJ: </w:t>
      </w:r>
      <w:r>
        <w:rPr>
          <w:noProof w:val="1"/>
          <w:sz w:val="24"/>
        </w:rPr>
        <w:t>2189-12-03-25-1</w:t>
      </w:r>
    </w:p>
    <w:p>
      <w:pPr>
        <w:spacing w:lineRule="auto" w:line="240" w:after="0" w:beforeAutospacing="0" w:afterAutospacing="0"/>
        <w:pStyle w:val="P0"/>
        <w:rPr>
          <w:i w:val="1"/>
        </w:rPr>
      </w:pPr>
      <w:r>
        <w:rPr>
          <w:sz w:val="24"/>
        </w:rPr>
        <w:t xml:space="preserve">Orahovica, </w:t>
      </w:r>
      <w:r>
        <w:rPr>
          <w:noProof w:val="1"/>
          <w:sz w:val="24"/>
        </w:rPr>
        <w:t>21</w:t>
      </w:r>
      <w:r>
        <w:rPr>
          <w:noProof w:val="1"/>
          <w:sz w:val="24"/>
        </w:rPr>
        <w:t>.</w:t>
      </w:r>
      <w:r>
        <w:rPr>
          <w:noProof w:val="1"/>
          <w:sz w:val="24"/>
        </w:rPr>
        <w:t xml:space="preserve"> </w:t>
      </w:r>
      <w:r>
        <w:rPr>
          <w:noProof w:val="1"/>
          <w:sz w:val="24"/>
        </w:rPr>
        <w:t>studenoga</w:t>
      </w:r>
      <w:r>
        <w:rPr>
          <w:noProof w:val="1"/>
          <w:sz w:val="24"/>
        </w:rPr>
        <w:t xml:space="preserve"> </w:t>
      </w:r>
      <w:r>
        <w:rPr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PRIJEDLOG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O D L U K E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o vrijednosti boda (B) za obračun visine komunalne naknade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na području Grada Orahovice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ab/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1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 xml:space="preserve">Na temelju članka 98. stavka 1. Zakona o komunalnom gospodarstvu (Narodne novine broj 68/18, 110/18 – Odluka – USRH, 32/20, 145/24) i članka 33. stavka 1. točke 24. i 25. Statuta Grada Orahovice („Službeni glasnik“ Grada Orahovice, br.4/2022, 8/2025), Gradsko vijeće Grada Orahovice, na __ sjednici održanoj ______2025.godine, donosi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O D L U K U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o vrijednosti boda (B) za obračun visine komunalne naknade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na području Grada Orahovice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Članak 1.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 xml:space="preserve">Vrijednost boda (B) za obračun visine komunalne naknade na području Grada Orahovice iznosi 0,44 eura/m² korisne površine stambenog prostora u prvoj zoni Grada Orahovice.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Članak 2.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 xml:space="preserve">Danom stupanja na snagu ove Odluke prestaje važiti Odluka o vrijednosti boda za obračun visine komunalne naknade na području grada Orahovice („Službeni glasnik“ Grada Orahovice, br. 1/2019).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Članak 3.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 xml:space="preserve">Ova Odluka primjenjuje se od 1. siječnja 2026. godine i objaviti će se u „Službenom glasniku“ Grada Orahovice.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 xml:space="preserve">GRADSKO VIJEĆE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 xml:space="preserve">GRADA ORAHOVICE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 xml:space="preserve">KLASA: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 xml:space="preserve">URBROJ: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>Orahovica,________________</w:t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ab/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 xml:space="preserve"> Predsjednica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  <w:sz w:val="24"/>
        </w:rPr>
        <w:tab/>
      </w:r>
      <w:r>
        <w:rPr>
          <w:rFonts w:ascii="Times New Roman" w:hAnsi="Times New Roman"/>
          <w:b w:val="1"/>
          <w:i w:val="1"/>
          <w:sz w:val="24"/>
        </w:rPr>
        <w:tab/>
      </w:r>
      <w:r>
        <w:rPr>
          <w:rFonts w:ascii="Times New Roman" w:hAnsi="Times New Roman"/>
          <w:b w:val="1"/>
          <w:i w:val="1"/>
          <w:sz w:val="24"/>
        </w:rPr>
        <w:tab/>
      </w:r>
      <w:r>
        <w:rPr>
          <w:rFonts w:ascii="Times New Roman" w:hAnsi="Times New Roman"/>
          <w:b w:val="1"/>
          <w:i w:val="1"/>
          <w:sz w:val="24"/>
        </w:rPr>
        <w:tab/>
      </w:r>
      <w:r>
        <w:rPr>
          <w:rFonts w:ascii="Times New Roman" w:hAnsi="Times New Roman"/>
          <w:b w:val="1"/>
          <w:i w:val="1"/>
          <w:sz w:val="24"/>
        </w:rPr>
        <w:tab/>
      </w:r>
      <w:r>
        <w:rPr>
          <w:rFonts w:ascii="Times New Roman" w:hAnsi="Times New Roman"/>
          <w:b w:val="1"/>
          <w:i w:val="1"/>
          <w:sz w:val="24"/>
        </w:rPr>
        <w:tab/>
      </w:r>
      <w:r>
        <w:rPr>
          <w:rFonts w:ascii="Times New Roman" w:hAnsi="Times New Roman"/>
          <w:b w:val="1"/>
          <w:i w:val="1"/>
          <w:sz w:val="24"/>
        </w:rPr>
        <w:tab/>
      </w:r>
      <w:r>
        <w:rPr>
          <w:rFonts w:ascii="Times New Roman" w:hAnsi="Times New Roman"/>
          <w:b w:val="1"/>
          <w:i w:val="1"/>
          <w:sz w:val="24"/>
        </w:rPr>
        <w:tab/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>Dostaviti:</w:t>
      </w:r>
    </w:p>
    <w:p>
      <w:pPr>
        <w:jc w:val="both"/>
        <w:spacing w:lineRule="auto" w:line="240" w:after="0" w:beforeAutospacing="0" w:afterAutospacing="0"/>
        <w:ind w:hanging="36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>1.</w:t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 xml:space="preserve"> Ministarstvo prostornoga uređenja, graditeljstva i državne imovine, Ulica Republike Austrije 14, 10 000 Zagreb</w:t>
      </w:r>
    </w:p>
    <w:p>
      <w:pPr>
        <w:jc w:val="both"/>
        <w:spacing w:lineRule="auto" w:line="240" w:after="0" w:beforeAutospacing="0" w:afterAutospacing="0"/>
        <w:ind w:hanging="36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>2.</w:t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 xml:space="preserve"> JUO-pročelnica</w:t>
      </w:r>
    </w:p>
    <w:p>
      <w:pPr>
        <w:jc w:val="both"/>
        <w:spacing w:lineRule="auto" w:line="240" w:after="0" w:beforeAutospacing="0" w:afterAutospacing="0"/>
        <w:ind w:hanging="36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>3.</w:t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 xml:space="preserve"> Službeni glasnik</w:t>
      </w:r>
    </w:p>
    <w:p>
      <w:pPr>
        <w:jc w:val="both"/>
        <w:spacing w:lineRule="auto" w:line="240" w:after="0" w:beforeAutospacing="0" w:afterAutospacing="0"/>
        <w:ind w:hanging="36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>4.</w:t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 xml:space="preserve"> Prilog zapisniku</w:t>
      </w:r>
    </w:p>
    <w:p>
      <w:pPr>
        <w:jc w:val="both"/>
        <w:spacing w:lineRule="auto" w:line="240" w:after="0" w:beforeAutospacing="0" w:afterAutospacing="0"/>
        <w:ind w:hanging="36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sz w:val="24"/>
        </w:rPr>
        <w:t>5.</w:t>
      </w:r>
      <w:r>
        <w:rPr>
          <w:rFonts w:ascii="Times New Roman" w:hAnsi="Times New Roman"/>
          <w:i w:val="1"/>
          <w:sz w:val="24"/>
        </w:rPr>
        <w:tab/>
      </w:r>
      <w:r>
        <w:rPr>
          <w:rFonts w:ascii="Times New Roman" w:hAnsi="Times New Roman"/>
          <w:i w:val="1"/>
          <w:sz w:val="24"/>
        </w:rPr>
        <w:t xml:space="preserve"> Pismohrana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b w:val="1"/>
          <w:sz w:val="24"/>
        </w:rPr>
      </w:pPr>
      <w:r>
        <w:rPr>
          <w:b w:val="1"/>
          <w:sz w:val="24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24"/>
        </w:rPr>
      </w:pPr>
      <w:r>
        <w:rPr>
          <w:noProof w:val="1"/>
          <w:sz w:val="24"/>
        </w:rPr>
        <w:t>1</w:t>
      </w:r>
      <w:r>
        <w:rPr>
          <w:noProof w:val="1"/>
          <w:sz w:val="24"/>
        </w:rPr>
        <w:t>.</w:t>
      </w:r>
      <w:r>
        <w:rPr>
          <w:noProof w:val="1"/>
          <w:sz w:val="24"/>
        </w:rPr>
        <w:t xml:space="preserve"> </w:t>
      </w:r>
      <w:r>
        <w:rPr>
          <w:noProof w:val="1"/>
          <w:sz w:val="24"/>
        </w:rPr>
        <w:t>INFORMATIVNI</w:t>
      </w:r>
      <w:r>
        <w:rPr>
          <w:noProof w:val="1"/>
          <w:sz w:val="24"/>
        </w:rPr>
        <w:t xml:space="preserve"> </w:t>
      </w:r>
      <w:r>
        <w:rPr>
          <w:sz w:val="24"/>
        </w:rPr>
        <w:t xml:space="preserve">CENTAR VIROVITICA d.o.o.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2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2025-11-21T12:03:33Z</dcterms:created>
  <dcterms:modified xsi:type="dcterms:W3CDTF">2025-11-21T12:03:33Z</dcterms:modified>
</cp:coreProperties>
</file>